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2396" w14:textId="77777777" w:rsidR="00CD3422" w:rsidRPr="00704E51" w:rsidRDefault="00CD3422" w:rsidP="00A53899">
      <w:pPr>
        <w:pStyle w:val="Title"/>
        <w:jc w:val="left"/>
        <w:rPr>
          <w:rFonts w:ascii="Arial" w:hAnsi="Arial" w:cs="Arial"/>
          <w:sz w:val="20"/>
        </w:rPr>
      </w:pPr>
      <w:r w:rsidRPr="00BC473A">
        <w:fldChar w:fldCharType="begin"/>
      </w:r>
      <w:r w:rsidRPr="00BC473A">
        <w:instrText xml:space="preserve"> INCLUDEPICTURE "/var/folders/kg/fq98ys_d3b97pt0n3903x5q80000gp/T/com.microsoft.Word/WebArchiveCopyPasteTempFiles/scaleup-logo-big.png" \* MERGEFORMATINET </w:instrText>
      </w:r>
      <w:r w:rsidRPr="00BC473A">
        <w:fldChar w:fldCharType="end"/>
      </w:r>
    </w:p>
    <w:p w14:paraId="54F8F8F9" w14:textId="77777777" w:rsidR="00CD3422" w:rsidRDefault="00CD3422" w:rsidP="00CD34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C5180" wp14:editId="143F81A1">
            <wp:extent cx="1905000" cy="4572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 Up Logo for Zoo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D3C" w14:textId="77777777" w:rsidR="00CD3422" w:rsidRDefault="00CD3422" w:rsidP="00CD3422">
      <w:pPr>
        <w:jc w:val="center"/>
        <w:rPr>
          <w:rFonts w:ascii="Arial" w:hAnsi="Arial" w:cs="Arial"/>
          <w:sz w:val="22"/>
          <w:szCs w:val="22"/>
        </w:rPr>
      </w:pPr>
    </w:p>
    <w:p w14:paraId="313D09A9" w14:textId="59B0C3F6" w:rsidR="00981638" w:rsidRDefault="00981638" w:rsidP="00CD34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Building Financial Resilience</w:t>
      </w:r>
    </w:p>
    <w:p w14:paraId="6F7B3D86" w14:textId="621ED286" w:rsidR="009E4DCB" w:rsidRDefault="00981638" w:rsidP="009E4DC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Action </w:t>
      </w:r>
      <w:r w:rsidR="00B33833">
        <w:rPr>
          <w:rFonts w:ascii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hAnsi="Times New Roman" w:cs="Times New Roman"/>
          <w:b/>
          <w:bCs/>
          <w:sz w:val="44"/>
          <w:szCs w:val="44"/>
        </w:rPr>
        <w:t>lan: Test Two New Revenue Models</w:t>
      </w:r>
    </w:p>
    <w:p w14:paraId="6E2BBCAE" w14:textId="77777777" w:rsidR="009E4DCB" w:rsidRPr="00FD6F3B" w:rsidRDefault="009E4DCB" w:rsidP="009E4DCB">
      <w:pPr>
        <w:jc w:val="center"/>
        <w:rPr>
          <w:rFonts w:ascii="Times New Roman" w:hAnsi="Times New Roman" w:cs="Times New Roman"/>
          <w:b/>
          <w:bCs/>
        </w:rPr>
      </w:pPr>
    </w:p>
    <w:p w14:paraId="46DD3C92" w14:textId="32C1C18A" w:rsidR="00A53899" w:rsidRDefault="00FD6F3B" w:rsidP="00CD3422">
      <w:pPr>
        <w:rPr>
          <w:rFonts w:ascii="Arial" w:hAnsi="Arial" w:cs="Arial"/>
          <w:b/>
          <w:bCs/>
          <w:color w:val="000000" w:themeColor="text1"/>
        </w:rPr>
      </w:pPr>
      <w:r w:rsidRPr="00FD6F3B">
        <w:rPr>
          <w:rFonts w:ascii="Arial" w:hAnsi="Arial" w:cs="Arial"/>
          <w:color w:val="000000" w:themeColor="text1"/>
        </w:rPr>
        <w:t xml:space="preserve">Part 1: </w:t>
      </w:r>
      <w:r>
        <w:rPr>
          <w:rFonts w:ascii="Arial" w:hAnsi="Arial" w:cs="Arial"/>
          <w:color w:val="000000" w:themeColor="text1"/>
        </w:rPr>
        <w:t>O</w:t>
      </w:r>
      <w:r w:rsidRPr="00FD6F3B">
        <w:rPr>
          <w:rFonts w:ascii="Arial" w:hAnsi="Arial" w:cs="Arial"/>
          <w:color w:val="000000" w:themeColor="text1"/>
        </w:rPr>
        <w:t xml:space="preserve">ur revenue model describes how </w:t>
      </w:r>
      <w:r>
        <w:rPr>
          <w:rFonts w:ascii="Arial" w:hAnsi="Arial" w:cs="Arial"/>
          <w:color w:val="000000" w:themeColor="text1"/>
        </w:rPr>
        <w:t>we</w:t>
      </w:r>
      <w:r w:rsidRPr="00FD6F3B">
        <w:rPr>
          <w:rFonts w:ascii="Arial" w:hAnsi="Arial" w:cs="Arial"/>
          <w:color w:val="000000" w:themeColor="text1"/>
        </w:rPr>
        <w:t xml:space="preserve"> charge for the different modes of delivering our products and/or services to different segments.</w:t>
      </w:r>
      <w:r w:rsidR="002073CD" w:rsidRPr="00FD6F3B">
        <w:rPr>
          <w:rFonts w:ascii="Arial" w:hAnsi="Arial" w:cs="Arial"/>
          <w:b/>
          <w:bCs/>
          <w:color w:val="000000" w:themeColor="text1"/>
        </w:rPr>
        <w:t xml:space="preserve"> </w:t>
      </w:r>
      <w:r w:rsidRPr="00FD6F3B">
        <w:rPr>
          <w:rFonts w:ascii="Arial" w:hAnsi="Arial" w:cs="Arial"/>
          <w:b/>
          <w:bCs/>
          <w:color w:val="000000" w:themeColor="text1"/>
        </w:rPr>
        <w:t xml:space="preserve">Review the attached 50 revenue models. Which </w:t>
      </w:r>
      <w:r w:rsidR="005625A8">
        <w:rPr>
          <w:rFonts w:ascii="Arial" w:hAnsi="Arial" w:cs="Arial"/>
          <w:b/>
          <w:bCs/>
          <w:color w:val="000000" w:themeColor="text1"/>
        </w:rPr>
        <w:t xml:space="preserve">two </w:t>
      </w:r>
      <w:r w:rsidRPr="00FD6F3B">
        <w:rPr>
          <w:rFonts w:ascii="Arial" w:hAnsi="Arial" w:cs="Arial"/>
          <w:b/>
          <w:bCs/>
          <w:color w:val="000000" w:themeColor="text1"/>
        </w:rPr>
        <w:t xml:space="preserve">best describe the </w:t>
      </w:r>
      <w:r w:rsidR="002073CD" w:rsidRPr="00FD6F3B">
        <w:rPr>
          <w:rFonts w:ascii="Arial" w:hAnsi="Arial" w:cs="Arial"/>
          <w:b/>
          <w:bCs/>
          <w:color w:val="000000" w:themeColor="text1"/>
        </w:rPr>
        <w:t xml:space="preserve">top two revenue models </w:t>
      </w:r>
      <w:r w:rsidRPr="00FD6F3B">
        <w:rPr>
          <w:rFonts w:ascii="Arial" w:hAnsi="Arial" w:cs="Arial"/>
          <w:b/>
          <w:bCs/>
          <w:color w:val="000000" w:themeColor="text1"/>
        </w:rPr>
        <w:t>used by our business?</w:t>
      </w:r>
    </w:p>
    <w:p w14:paraId="4E2AA6FF" w14:textId="77777777" w:rsidR="005625A8" w:rsidRPr="00FD6F3B" w:rsidRDefault="005625A8" w:rsidP="00CD3422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6930"/>
      </w:tblGrid>
      <w:tr w:rsidR="002073CD" w14:paraId="25DCEBA2" w14:textId="77777777" w:rsidTr="003D7BB6">
        <w:trPr>
          <w:trHeight w:val="361"/>
        </w:trPr>
        <w:tc>
          <w:tcPr>
            <w:tcW w:w="625" w:type="dxa"/>
          </w:tcPr>
          <w:p w14:paraId="58E9CAA6" w14:textId="0DD795DC" w:rsidR="002073CD" w:rsidRPr="00D87DB6" w:rsidRDefault="002073CD" w:rsidP="00AA65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20" w:type="dxa"/>
          </w:tcPr>
          <w:p w14:paraId="1C1025BD" w14:textId="593E5E80" w:rsidR="002073CD" w:rsidRPr="005C4212" w:rsidRDefault="005625A8" w:rsidP="00AA65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Revenue Model?</w:t>
            </w:r>
          </w:p>
        </w:tc>
        <w:tc>
          <w:tcPr>
            <w:tcW w:w="6930" w:type="dxa"/>
          </w:tcPr>
          <w:p w14:paraId="32847890" w14:textId="5FC2C88F" w:rsidR="002073CD" w:rsidRPr="005C4212" w:rsidRDefault="002073CD" w:rsidP="00AA65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What happened </w:t>
            </w:r>
            <w:r w:rsidR="003D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this model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over the past </w:t>
            </w:r>
            <w:r w:rsidR="0048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days?</w:t>
            </w:r>
          </w:p>
        </w:tc>
      </w:tr>
      <w:tr w:rsidR="002073CD" w14:paraId="295BC445" w14:textId="77777777" w:rsidTr="003D7BB6">
        <w:trPr>
          <w:trHeight w:val="312"/>
        </w:trPr>
        <w:tc>
          <w:tcPr>
            <w:tcW w:w="625" w:type="dxa"/>
          </w:tcPr>
          <w:p w14:paraId="27485D9A" w14:textId="09595C87" w:rsidR="002073CD" w:rsidRPr="00D87DB6" w:rsidRDefault="002073CD" w:rsidP="00AA65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1E3B95D1" w14:textId="77777777" w:rsidR="002073CD" w:rsidRDefault="002073CD" w:rsidP="00AA65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040777E2" w14:textId="7E7B750D" w:rsidR="002073CD" w:rsidRDefault="002073CD" w:rsidP="002073C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  <w:p w14:paraId="56157368" w14:textId="77777777" w:rsidR="002073CD" w:rsidRDefault="002073CD" w:rsidP="002073CD">
            <w:pPr>
              <w:rPr>
                <w:rFonts w:ascii="Times New Roman" w:hAnsi="Times New Roman" w:cs="Times New Roman"/>
              </w:rPr>
            </w:pPr>
          </w:p>
          <w:p w14:paraId="6843B153" w14:textId="77777777" w:rsidR="002073CD" w:rsidRDefault="002073CD" w:rsidP="002073CD">
            <w:pPr>
              <w:rPr>
                <w:rFonts w:ascii="Times New Roman" w:hAnsi="Times New Roman" w:cs="Times New Roman"/>
              </w:rPr>
            </w:pPr>
          </w:p>
          <w:p w14:paraId="6EEF4798" w14:textId="0FF9411D" w:rsidR="002073CD" w:rsidRPr="002073CD" w:rsidRDefault="002073CD" w:rsidP="002073CD">
            <w:pPr>
              <w:rPr>
                <w:rFonts w:ascii="Times New Roman" w:hAnsi="Times New Roman" w:cs="Times New Roman"/>
              </w:rPr>
            </w:pPr>
          </w:p>
        </w:tc>
      </w:tr>
      <w:tr w:rsidR="002073CD" w14:paraId="50F0F21E" w14:textId="77777777" w:rsidTr="003D7BB6">
        <w:trPr>
          <w:trHeight w:val="312"/>
        </w:trPr>
        <w:tc>
          <w:tcPr>
            <w:tcW w:w="625" w:type="dxa"/>
          </w:tcPr>
          <w:p w14:paraId="422EE11B" w14:textId="77777777" w:rsidR="002073CD" w:rsidRPr="00D87DB6" w:rsidRDefault="002073CD" w:rsidP="00AA65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0304BEA" w14:textId="77777777" w:rsidR="002073CD" w:rsidRDefault="002073CD" w:rsidP="00AA65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6654C00" w14:textId="77777777" w:rsidR="002073CD" w:rsidRDefault="002073CD" w:rsidP="00AA65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D69FFF9" w14:textId="77777777" w:rsidR="002073CD" w:rsidRDefault="002073CD" w:rsidP="00AA65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B7EA366" w14:textId="07218EA5" w:rsidR="002073CD" w:rsidRDefault="002073CD" w:rsidP="00AA65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644F4AAE" w14:textId="77777777" w:rsidR="002073CD" w:rsidRDefault="002073CD" w:rsidP="002073C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</w:tbl>
    <w:p w14:paraId="5C230F01" w14:textId="77777777" w:rsidR="00A53899" w:rsidRDefault="00A53899" w:rsidP="00CD342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7A2CF2F" w14:textId="555552A3" w:rsidR="00215427" w:rsidRDefault="00FD6F3B" w:rsidP="00FD6F3B">
      <w:pPr>
        <w:rPr>
          <w:rFonts w:ascii="Arial" w:hAnsi="Arial" w:cs="Arial"/>
          <w:b/>
          <w:bCs/>
          <w:color w:val="000000" w:themeColor="text1"/>
        </w:rPr>
      </w:pPr>
      <w:r w:rsidRPr="00FD6F3B">
        <w:rPr>
          <w:rFonts w:ascii="Arial" w:hAnsi="Arial" w:cs="Arial"/>
          <w:color w:val="000000" w:themeColor="text1"/>
        </w:rPr>
        <w:t>Part 2: Experimenting with new revenue models is key to getting better compensated for the value that a business delivers to customers.</w:t>
      </w:r>
      <w:r w:rsidRPr="00FD6F3B">
        <w:rPr>
          <w:rFonts w:ascii="Times New Roman" w:hAnsi="Times New Roman" w:cs="Times New Roman"/>
          <w:b/>
          <w:bCs/>
        </w:rPr>
        <w:t xml:space="preserve">  </w:t>
      </w:r>
      <w:r w:rsidR="002073CD" w:rsidRPr="00FD6F3B">
        <w:rPr>
          <w:rFonts w:ascii="Arial" w:hAnsi="Arial" w:cs="Arial"/>
          <w:b/>
          <w:bCs/>
          <w:color w:val="000000" w:themeColor="text1"/>
        </w:rPr>
        <w:t xml:space="preserve">Going </w:t>
      </w:r>
      <w:r w:rsidRPr="00FD6F3B">
        <w:rPr>
          <w:rFonts w:ascii="Arial" w:hAnsi="Arial" w:cs="Arial"/>
          <w:b/>
          <w:bCs/>
          <w:color w:val="000000" w:themeColor="text1"/>
        </w:rPr>
        <w:t>f</w:t>
      </w:r>
      <w:r w:rsidR="002073CD" w:rsidRPr="00FD6F3B">
        <w:rPr>
          <w:rFonts w:ascii="Arial" w:hAnsi="Arial" w:cs="Arial"/>
          <w:b/>
          <w:bCs/>
          <w:color w:val="000000" w:themeColor="text1"/>
        </w:rPr>
        <w:t xml:space="preserve">orward, </w:t>
      </w:r>
      <w:r w:rsidRPr="00FD6F3B">
        <w:rPr>
          <w:rFonts w:ascii="Arial" w:hAnsi="Arial" w:cs="Arial"/>
          <w:b/>
          <w:bCs/>
          <w:color w:val="000000" w:themeColor="text1"/>
        </w:rPr>
        <w:t xml:space="preserve">what </w:t>
      </w:r>
      <w:r w:rsidR="00981638" w:rsidRPr="00FD6F3B">
        <w:rPr>
          <w:rFonts w:ascii="Arial" w:hAnsi="Arial" w:cs="Arial"/>
          <w:b/>
          <w:bCs/>
          <w:color w:val="000000" w:themeColor="text1"/>
        </w:rPr>
        <w:t>two new</w:t>
      </w:r>
      <w:r w:rsidR="003D7BB6" w:rsidRPr="00FD6F3B">
        <w:rPr>
          <w:rFonts w:ascii="Arial" w:hAnsi="Arial" w:cs="Arial"/>
          <w:b/>
          <w:bCs/>
          <w:color w:val="000000" w:themeColor="text1"/>
        </w:rPr>
        <w:t xml:space="preserve"> </w:t>
      </w:r>
      <w:r w:rsidR="002073CD" w:rsidRPr="00FD6F3B">
        <w:rPr>
          <w:rFonts w:ascii="Arial" w:hAnsi="Arial" w:cs="Arial"/>
          <w:b/>
          <w:bCs/>
          <w:color w:val="000000" w:themeColor="text1"/>
        </w:rPr>
        <w:t>revenue model</w:t>
      </w:r>
      <w:r w:rsidR="00481F9B">
        <w:rPr>
          <w:rFonts w:ascii="Arial" w:hAnsi="Arial" w:cs="Arial"/>
          <w:b/>
          <w:bCs/>
          <w:color w:val="000000" w:themeColor="text1"/>
        </w:rPr>
        <w:t>s</w:t>
      </w:r>
      <w:r w:rsidR="002073CD" w:rsidRPr="00FD6F3B">
        <w:rPr>
          <w:rFonts w:ascii="Arial" w:hAnsi="Arial" w:cs="Arial"/>
          <w:b/>
          <w:bCs/>
          <w:color w:val="000000" w:themeColor="text1"/>
        </w:rPr>
        <w:t xml:space="preserve"> </w:t>
      </w:r>
      <w:r w:rsidRPr="00FD6F3B">
        <w:rPr>
          <w:rFonts w:ascii="Arial" w:hAnsi="Arial" w:cs="Arial"/>
          <w:b/>
          <w:bCs/>
          <w:color w:val="000000" w:themeColor="text1"/>
        </w:rPr>
        <w:t xml:space="preserve">could our business </w:t>
      </w:r>
      <w:r w:rsidR="002073CD" w:rsidRPr="00FD6F3B">
        <w:rPr>
          <w:rFonts w:ascii="Arial" w:hAnsi="Arial" w:cs="Arial"/>
          <w:b/>
          <w:bCs/>
          <w:color w:val="000000" w:themeColor="text1"/>
        </w:rPr>
        <w:t>experiment</w:t>
      </w:r>
      <w:r w:rsidRPr="00FD6F3B">
        <w:rPr>
          <w:rFonts w:ascii="Arial" w:hAnsi="Arial" w:cs="Arial"/>
          <w:b/>
          <w:bCs/>
          <w:color w:val="000000" w:themeColor="text1"/>
        </w:rPr>
        <w:t xml:space="preserve"> with?</w:t>
      </w:r>
    </w:p>
    <w:p w14:paraId="4550146D" w14:textId="77777777" w:rsidR="005625A8" w:rsidRPr="00FD6F3B" w:rsidRDefault="005625A8" w:rsidP="00FD6F3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6930"/>
      </w:tblGrid>
      <w:tr w:rsidR="002073CD" w14:paraId="449CB24C" w14:textId="77777777" w:rsidTr="003D7BB6">
        <w:trPr>
          <w:trHeight w:val="593"/>
        </w:trPr>
        <w:tc>
          <w:tcPr>
            <w:tcW w:w="625" w:type="dxa"/>
          </w:tcPr>
          <w:p w14:paraId="2AC0247F" w14:textId="666E6F3F" w:rsidR="002073CD" w:rsidRPr="00D87DB6" w:rsidRDefault="002073CD" w:rsidP="002073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20" w:type="dxa"/>
          </w:tcPr>
          <w:p w14:paraId="2844D42F" w14:textId="1563D6F0" w:rsidR="002073CD" w:rsidRPr="005C4212" w:rsidRDefault="005625A8" w:rsidP="002073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Revenue Model?</w:t>
            </w:r>
          </w:p>
        </w:tc>
        <w:tc>
          <w:tcPr>
            <w:tcW w:w="6930" w:type="dxa"/>
          </w:tcPr>
          <w:p w14:paraId="738CE3D1" w14:textId="45709E13" w:rsidR="00A53899" w:rsidRPr="00981638" w:rsidRDefault="002073CD" w:rsidP="00981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638">
              <w:rPr>
                <w:rFonts w:ascii="Times New Roman" w:hAnsi="Times New Roman" w:cs="Times New Roman"/>
                <w:b/>
                <w:bCs/>
              </w:rPr>
              <w:t xml:space="preserve">What do </w:t>
            </w:r>
            <w:r w:rsidR="00FD6F3B">
              <w:rPr>
                <w:rFonts w:ascii="Times New Roman" w:hAnsi="Times New Roman" w:cs="Times New Roman"/>
                <w:b/>
                <w:bCs/>
              </w:rPr>
              <w:t xml:space="preserve">we </w:t>
            </w:r>
            <w:r w:rsidRPr="00981638">
              <w:rPr>
                <w:rFonts w:ascii="Times New Roman" w:hAnsi="Times New Roman" w:cs="Times New Roman"/>
                <w:b/>
                <w:bCs/>
              </w:rPr>
              <w:t xml:space="preserve">have to </w:t>
            </w:r>
            <w:r w:rsidR="00A53899" w:rsidRPr="00981638">
              <w:rPr>
                <w:rFonts w:ascii="Times New Roman" w:hAnsi="Times New Roman" w:cs="Times New Roman"/>
                <w:b/>
                <w:bCs/>
              </w:rPr>
              <w:t>do</w:t>
            </w:r>
            <w:r w:rsidR="009816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638">
              <w:rPr>
                <w:rFonts w:ascii="Times New Roman" w:hAnsi="Times New Roman" w:cs="Times New Roman"/>
                <w:b/>
                <w:bCs/>
              </w:rPr>
              <w:t>for a meaningful test with new customer</w:t>
            </w:r>
            <w:r w:rsidR="00A53899" w:rsidRPr="00981638">
              <w:rPr>
                <w:rFonts w:ascii="Times New Roman" w:hAnsi="Times New Roman" w:cs="Times New Roman"/>
                <w:b/>
                <w:bCs/>
              </w:rPr>
              <w:t>s</w:t>
            </w:r>
            <w:r w:rsidRPr="00981638">
              <w:rPr>
                <w:rFonts w:ascii="Times New Roman" w:hAnsi="Times New Roman" w:cs="Times New Roman"/>
                <w:b/>
                <w:bCs/>
              </w:rPr>
              <w:t>?</w:t>
            </w:r>
            <w:r w:rsidR="009816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899" w:rsidRPr="00981638">
              <w:rPr>
                <w:rFonts w:ascii="Times New Roman" w:hAnsi="Times New Roman" w:cs="Times New Roman"/>
                <w:b/>
                <w:bCs/>
              </w:rPr>
              <w:t xml:space="preserve">(What support is needed? </w:t>
            </w:r>
            <w:r w:rsidR="009816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899" w:rsidRPr="00981638">
              <w:rPr>
                <w:rFonts w:ascii="Times New Roman" w:hAnsi="Times New Roman" w:cs="Times New Roman"/>
                <w:b/>
                <w:bCs/>
              </w:rPr>
              <w:t>What new competency would we need to build?  How will we measure success?)</w:t>
            </w:r>
          </w:p>
        </w:tc>
      </w:tr>
      <w:tr w:rsidR="00981638" w14:paraId="6E58A03C" w14:textId="77777777" w:rsidTr="003D7BB6">
        <w:tc>
          <w:tcPr>
            <w:tcW w:w="625" w:type="dxa"/>
          </w:tcPr>
          <w:p w14:paraId="1C816D01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F3E7F0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65A689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70DB89" w14:textId="5415AB9E" w:rsidR="00981638" w:rsidRPr="00D87DB6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6A2ED03" w14:textId="77777777" w:rsidR="00981638" w:rsidRDefault="00981638" w:rsidP="0098163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27FE655" w14:textId="77777777" w:rsidR="00981638" w:rsidRDefault="00981638" w:rsidP="009816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  <w:p w14:paraId="6FB41FD8" w14:textId="77777777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78BEB9DC" w14:textId="47ED379D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727B6443" w14:textId="23959557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3C8EE739" w14:textId="77777777" w:rsidR="00FD6F3B" w:rsidRDefault="00FD6F3B" w:rsidP="00981638">
            <w:pPr>
              <w:rPr>
                <w:rFonts w:ascii="Times New Roman" w:hAnsi="Times New Roman" w:cs="Times New Roman"/>
              </w:rPr>
            </w:pPr>
          </w:p>
          <w:p w14:paraId="136B688E" w14:textId="5214B2E6" w:rsidR="00981638" w:rsidRPr="003D7BB6" w:rsidRDefault="00981638" w:rsidP="00981638">
            <w:pPr>
              <w:rPr>
                <w:rFonts w:ascii="Times New Roman" w:hAnsi="Times New Roman" w:cs="Times New Roman"/>
              </w:rPr>
            </w:pPr>
          </w:p>
        </w:tc>
      </w:tr>
      <w:tr w:rsidR="00981638" w14:paraId="103F7EC1" w14:textId="77777777" w:rsidTr="003D7BB6">
        <w:tc>
          <w:tcPr>
            <w:tcW w:w="625" w:type="dxa"/>
          </w:tcPr>
          <w:p w14:paraId="49045750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0F2066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7B3951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600576" w14:textId="77777777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D9CEEB" w14:textId="5DBE7979" w:rsidR="00981638" w:rsidRDefault="00981638" w:rsidP="009816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71E3FCDD" w14:textId="77777777" w:rsidR="00981638" w:rsidRDefault="00981638" w:rsidP="0098163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6F807BBE" w14:textId="77777777" w:rsidR="00981638" w:rsidRDefault="00981638" w:rsidP="0098163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  <w:p w14:paraId="2F182AC6" w14:textId="77777777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4D2DC66B" w14:textId="02C26391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62F2277B" w14:textId="7EE18281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43209FD5" w14:textId="77777777" w:rsidR="00981638" w:rsidRDefault="00981638" w:rsidP="00981638">
            <w:pPr>
              <w:rPr>
                <w:rFonts w:ascii="Times New Roman" w:hAnsi="Times New Roman" w:cs="Times New Roman"/>
              </w:rPr>
            </w:pPr>
          </w:p>
          <w:p w14:paraId="52688EEA" w14:textId="0D014B75" w:rsidR="00981638" w:rsidRPr="003D7BB6" w:rsidRDefault="00981638" w:rsidP="00981638">
            <w:pPr>
              <w:rPr>
                <w:rFonts w:ascii="Times New Roman" w:hAnsi="Times New Roman" w:cs="Times New Roman"/>
              </w:rPr>
            </w:pPr>
          </w:p>
        </w:tc>
      </w:tr>
    </w:tbl>
    <w:p w14:paraId="04D09D82" w14:textId="64920F42" w:rsidR="00FD6F3B" w:rsidRDefault="00FD6F3B"/>
    <w:p w14:paraId="52603EC0" w14:textId="2CBC4150" w:rsidR="00FD6F3B" w:rsidRDefault="00FD6F3B"/>
    <w:p w14:paraId="32E2E2AC" w14:textId="7A4EEF52" w:rsidR="007648B4" w:rsidRPr="002F4626" w:rsidRDefault="00B33833" w:rsidP="007648B4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2F4626">
        <w:rPr>
          <w:rFonts w:ascii="Arial" w:hAnsi="Arial" w:cs="Arial"/>
          <w:b/>
          <w:i/>
          <w:sz w:val="48"/>
          <w:szCs w:val="48"/>
        </w:rPr>
        <w:t>50 Alternative Revenue Models</w:t>
      </w:r>
    </w:p>
    <w:p w14:paraId="2E605866" w14:textId="77777777" w:rsidR="00B33833" w:rsidRPr="00C93C9A" w:rsidRDefault="00B33833" w:rsidP="00B33833">
      <w:pPr>
        <w:rPr>
          <w:rFonts w:ascii="Arial" w:hAnsi="Arial" w:cs="Arial"/>
        </w:rPr>
      </w:pPr>
    </w:p>
    <w:tbl>
      <w:tblPr>
        <w:tblW w:w="938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3780"/>
        <w:gridCol w:w="2723"/>
      </w:tblGrid>
      <w:tr w:rsidR="00B33833" w:rsidRPr="00C33FA6" w14:paraId="6F3A78A6" w14:textId="77777777" w:rsidTr="00AA65A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C7F92"/>
            <w:hideMark/>
          </w:tcPr>
          <w:p w14:paraId="412C1593" w14:textId="77777777" w:rsidR="00B33833" w:rsidRPr="00D4450B" w:rsidRDefault="00B33833" w:rsidP="00AA65A2">
            <w:pPr>
              <w:rPr>
                <w:rFonts w:ascii="Arial" w:hAnsi="Arial" w:cs="Arial"/>
                <w:color w:val="FFFFFF"/>
              </w:rPr>
            </w:pPr>
            <w:r w:rsidRPr="00D4450B">
              <w:rPr>
                <w:rFonts w:ascii="Arial" w:hAnsi="Arial" w:cs="Arial"/>
                <w:color w:val="FFFFFF"/>
              </w:rPr>
              <w:t>Ref.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C7F92"/>
            <w:hideMark/>
          </w:tcPr>
          <w:p w14:paraId="53447E0B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450B">
              <w:rPr>
                <w:rFonts w:ascii="Arial" w:hAnsi="Arial" w:cs="Arial"/>
                <w:b/>
                <w:bCs/>
                <w:color w:val="FFFFFF"/>
              </w:rPr>
              <w:t xml:space="preserve">Revenue </w:t>
            </w:r>
          </w:p>
          <w:p w14:paraId="05A45D71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450B">
              <w:rPr>
                <w:rFonts w:ascii="Arial" w:hAnsi="Arial" w:cs="Arial"/>
                <w:b/>
                <w:bCs/>
                <w:color w:val="FFFFFF"/>
              </w:rPr>
              <w:t>Model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C7F92"/>
            <w:hideMark/>
          </w:tcPr>
          <w:p w14:paraId="0DA16BAE" w14:textId="77777777" w:rsidR="00B33833" w:rsidRPr="00D4450B" w:rsidRDefault="00B33833" w:rsidP="00AA65A2">
            <w:pPr>
              <w:rPr>
                <w:rFonts w:ascii="Arial" w:hAnsi="Arial" w:cs="Arial"/>
                <w:color w:val="FFFFFF"/>
              </w:rPr>
            </w:pPr>
            <w:r w:rsidRPr="00D4450B">
              <w:rPr>
                <w:rFonts w:ascii="Arial" w:hAnsi="Arial" w:cs="Arial"/>
                <w:color w:val="FFFFFF"/>
              </w:rPr>
              <w:t>Characteristic Feature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C7F92"/>
            <w:hideMark/>
          </w:tcPr>
          <w:p w14:paraId="04ACAB76" w14:textId="77777777" w:rsidR="00B33833" w:rsidRPr="00D4450B" w:rsidRDefault="00B33833" w:rsidP="00AA65A2">
            <w:pPr>
              <w:rPr>
                <w:rFonts w:ascii="Arial" w:hAnsi="Arial" w:cs="Arial"/>
                <w:color w:val="FFFFFF"/>
              </w:rPr>
            </w:pPr>
            <w:r w:rsidRPr="00D4450B">
              <w:rPr>
                <w:rFonts w:ascii="Arial" w:hAnsi="Arial" w:cs="Arial"/>
                <w:color w:val="FFFFFF"/>
              </w:rPr>
              <w:t>Examples</w:t>
            </w:r>
          </w:p>
        </w:tc>
      </w:tr>
      <w:tr w:rsidR="00B33833" w:rsidRPr="00C33FA6" w14:paraId="47A2661E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6DA5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17CE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Add-ons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EA8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Promote extras to increase margins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C8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Want </w:t>
            </w:r>
            <w:proofErr w:type="spellStart"/>
            <w:r>
              <w:rPr>
                <w:rFonts w:ascii="Arial" w:hAnsi="Arial" w:cs="Arial"/>
                <w:color w:val="000000"/>
              </w:rPr>
              <w:t>f</w:t>
            </w:r>
            <w:r w:rsidRPr="00D4450B">
              <w:rPr>
                <w:rFonts w:ascii="Arial" w:hAnsi="Arial" w:cs="Arial"/>
                <w:color w:val="000000"/>
              </w:rPr>
              <w:t>rys</w:t>
            </w:r>
            <w:proofErr w:type="spellEnd"/>
            <w:r w:rsidRPr="00D4450B">
              <w:rPr>
                <w:rFonts w:ascii="Arial" w:hAnsi="Arial" w:cs="Arial"/>
                <w:color w:val="000000"/>
              </w:rPr>
              <w:t xml:space="preserve"> with that? </w:t>
            </w:r>
          </w:p>
          <w:p w14:paraId="4794A2CE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Extra Collision Insurance?</w:t>
            </w:r>
          </w:p>
          <w:p w14:paraId="2C36A69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Upgrades?</w:t>
            </w:r>
          </w:p>
        </w:tc>
      </w:tr>
      <w:tr w:rsidR="00B33833" w:rsidRPr="00C33FA6" w14:paraId="47C4943A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769F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96E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Advertising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711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Sell access to the demographics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504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TV, Magazines, Facebook, Google  AdSense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6F990BBF" w14:textId="77777777" w:rsidTr="00AA65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4624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C173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Affiliate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219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Referral </w:t>
            </w:r>
            <w:r>
              <w:rPr>
                <w:rFonts w:ascii="Arial" w:hAnsi="Arial" w:cs="Arial"/>
                <w:color w:val="000000"/>
              </w:rPr>
              <w:t>Commissions</w:t>
            </w:r>
            <w:r w:rsidRPr="00D4450B">
              <w:rPr>
                <w:rFonts w:ascii="Arial" w:hAnsi="Arial" w:cs="Arial"/>
                <w:color w:val="000000"/>
              </w:rPr>
              <w:t>- A performance-based marketing model where you compensate one or more affiliates for each referral generated by affiliate's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450B">
              <w:rPr>
                <w:rFonts w:ascii="Arial" w:hAnsi="Arial" w:cs="Arial"/>
                <w:color w:val="000000"/>
              </w:rPr>
              <w:t>marketing efforts.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266D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Amazon Affiliate Program, Cost per Click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1D51106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8AA8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B00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Affinity Marketing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56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Partnerships between a company and an organization (the affinity group)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608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Affinity Credit Cards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D20DBBF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FD0E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CED0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Association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B68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Charge membership </w:t>
            </w:r>
            <w:r>
              <w:rPr>
                <w:rFonts w:ascii="Arial" w:hAnsi="Arial" w:cs="Arial"/>
                <w:color w:val="000000"/>
              </w:rPr>
              <w:t>dues</w:t>
            </w:r>
            <w:r w:rsidRPr="00D4450B">
              <w:rPr>
                <w:rFonts w:ascii="Arial" w:hAnsi="Arial" w:cs="Arial"/>
                <w:color w:val="000000"/>
              </w:rPr>
              <w:t xml:space="preserve"> for access to </w:t>
            </w:r>
            <w:r>
              <w:rPr>
                <w:rFonts w:ascii="Arial" w:hAnsi="Arial" w:cs="Arial"/>
                <w:color w:val="000000"/>
              </w:rPr>
              <w:t xml:space="preserve">peer industry or function </w:t>
            </w:r>
            <w:r w:rsidRPr="00D4450B">
              <w:rPr>
                <w:rFonts w:ascii="Arial" w:hAnsi="Arial" w:cs="Arial"/>
                <w:color w:val="000000"/>
              </w:rPr>
              <w:t>members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01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Associations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6B3CD39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FCB0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BEA9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Auction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214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Generating bids within a time frame</w:t>
            </w:r>
            <w:r>
              <w:rPr>
                <w:rFonts w:ascii="Arial" w:hAnsi="Arial" w:cs="Arial"/>
                <w:color w:val="000000"/>
              </w:rPr>
              <w:t xml:space="preserve"> for commission on the transactions.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758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eBay, Auction houses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00FB7097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EB2E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3DFE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Bait &amp; Hook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23E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Cheaply promote the base, to sell 'refills' over time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F43E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Printer Ink, blades, </w:t>
            </w:r>
          </w:p>
          <w:p w14:paraId="5B199F2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Keurig Coffee Maker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050BB5B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0707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7DE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Broker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A42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Charging a fee or commission for arranging transactions between buyers &amp; sellers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CCC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Expedia, </w:t>
            </w:r>
          </w:p>
          <w:p w14:paraId="31F49DA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Real Estate Agents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011F6AB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4191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114C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Bundling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5E3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Packaging related goods/services together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0488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Gift Hampers, </w:t>
            </w:r>
          </w:p>
          <w:p w14:paraId="660A9C1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Microsoft Office Suite </w:t>
            </w:r>
          </w:p>
        </w:tc>
      </w:tr>
      <w:tr w:rsidR="00B33833" w:rsidRPr="00C33FA6" w14:paraId="7C3C2DDB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C455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ABEC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Club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5BA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Generate membership fees to serve member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D4450B">
              <w:rPr>
                <w:rFonts w:ascii="Arial" w:hAnsi="Arial" w:cs="Arial"/>
                <w:color w:val="000000"/>
              </w:rPr>
              <w:t>s needs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8E4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Golf Clubs, single product or interest clubs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7550934F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1243" w14:textId="77777777" w:rsidR="00B33833" w:rsidRPr="00D86B00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86B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56CD" w14:textId="77777777" w:rsidR="00B33833" w:rsidRPr="00D86B00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6B00">
              <w:rPr>
                <w:rFonts w:ascii="Arial" w:hAnsi="Arial" w:cs="Arial"/>
                <w:b/>
                <w:bCs/>
                <w:color w:val="000000"/>
              </w:rPr>
              <w:t>Commission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D4BB" w14:textId="77777777" w:rsidR="00B33833" w:rsidRPr="00D86B00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86B00">
              <w:rPr>
                <w:rFonts w:ascii="Arial" w:hAnsi="Arial" w:cs="Arial"/>
                <w:color w:val="000000"/>
              </w:rPr>
              <w:t>Receiving payment as an agent for services rendered, usually a % of the deal.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F71B" w14:textId="77777777" w:rsidR="00B33833" w:rsidRPr="00D86B00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86B00">
              <w:rPr>
                <w:rFonts w:ascii="Arial" w:hAnsi="Arial" w:cs="Arial"/>
                <w:color w:val="000000"/>
              </w:rPr>
              <w:t>Recruiters, RE Brokers.</w:t>
            </w:r>
          </w:p>
        </w:tc>
      </w:tr>
      <w:tr w:rsidR="00B33833" w:rsidRPr="00C33FA6" w14:paraId="2EB41157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28FF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9CAB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4450B">
              <w:rPr>
                <w:rFonts w:ascii="Arial" w:hAnsi="Arial" w:cs="Arial"/>
                <w:b/>
                <w:bCs/>
                <w:color w:val="000000"/>
              </w:rPr>
              <w:t>Crowd-sourcing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4AC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Aggregating crowd contributions to create value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808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Wikipedia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E0EDDD4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FCF6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8B7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Customer Involvement /Burden Shifting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14C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Have customers complete tasks themselves as part of the service delivery- to keep costs down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291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Self-checkout in supermarkets, self-check-in at airlines, </w:t>
            </w:r>
            <w:r w:rsidRPr="00D4450B">
              <w:rPr>
                <w:rFonts w:ascii="Arial" w:hAnsi="Arial" w:cs="Arial"/>
                <w:color w:val="000000"/>
              </w:rPr>
              <w:lastRenderedPageBreak/>
              <w:t>assemble your own furniture (IKEA)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6F660BC" w14:textId="77777777" w:rsidTr="00AA65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F2DF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1B38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Direct Sales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14C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Selling directly away from a fixed retail location, door to door, one-on-one demonstrations, direct internet sales.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E8B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Encyclopedia Britannica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AF8FCA6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D9FF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F35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Dis-intermediation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131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Provide a platform to cut out traditional middlemen and go direct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517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UBER, Hotels.com, Amazon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27791582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204E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2C6D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Fractional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Ownership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0E24" w14:textId="77777777" w:rsidR="00B33833" w:rsidRDefault="00B33833" w:rsidP="00AA65A2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Several unrelated parties share in </w:t>
            </w:r>
            <w:r>
              <w:rPr>
                <w:rFonts w:ascii="Arial" w:hAnsi="Arial" w:cs="Arial"/>
                <w:b/>
                <w:bCs/>
                <w:color w:val="222222"/>
              </w:rPr>
              <w:t>ownership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of a high-value asset ( jet, yacht real estate)</w:t>
            </w:r>
          </w:p>
          <w:p w14:paraId="30F54BED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9C9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Timeshares, </w:t>
            </w:r>
            <w:proofErr w:type="spellStart"/>
            <w:r w:rsidRPr="00D4450B">
              <w:rPr>
                <w:rFonts w:ascii="Arial" w:hAnsi="Arial" w:cs="Arial"/>
                <w:color w:val="000000"/>
              </w:rPr>
              <w:t>Jetshare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</w:tc>
      </w:tr>
      <w:tr w:rsidR="00B33833" w:rsidRPr="00C33FA6" w14:paraId="6AB204CD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E3DB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3B4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Franchise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C9DD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Licensee Fees &amp; Royalties - to use a firm's successful business model and brand for an agreed term.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108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McDonalds, Dunkin Donuts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B820706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0CC1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319D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Freemium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2449" w14:textId="77777777" w:rsidR="00B33833" w:rsidRDefault="00B33833" w:rsidP="00AA65A2">
            <w:r>
              <w:rPr>
                <w:rFonts w:ascii="Arial" w:hAnsi="Arial" w:cs="Arial"/>
                <w:color w:val="000000"/>
              </w:rPr>
              <w:t>B</w:t>
            </w:r>
            <w:r w:rsidRPr="00D4450B">
              <w:rPr>
                <w:rFonts w:ascii="Arial" w:hAnsi="Arial" w:cs="Arial"/>
                <w:color w:val="000000"/>
              </w:rPr>
              <w:t xml:space="preserve">asic version 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Pr="00D4450B">
              <w:rPr>
                <w:rFonts w:ascii="Arial" w:hAnsi="Arial" w:cs="Arial"/>
                <w:color w:val="000000"/>
              </w:rPr>
              <w:t>free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Charge for the  "upgrades" </w:t>
            </w:r>
          </w:p>
          <w:p w14:paraId="16D9CC9A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FFB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Pandora, LinkedIn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61EAB82D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3358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795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Leasing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F59" w14:textId="77777777" w:rsidR="00B33833" w:rsidRPr="00C06CFB" w:rsidRDefault="00B33833" w:rsidP="00AA65A2">
            <w:r>
              <w:rPr>
                <w:rFonts w:ascii="Arial" w:hAnsi="Arial" w:cs="Arial"/>
                <w:color w:val="000000"/>
              </w:rPr>
              <w:t xml:space="preserve">Use of </w:t>
            </w:r>
            <w:r w:rsidRPr="00D4450B">
              <w:rPr>
                <w:rFonts w:ascii="Arial" w:hAnsi="Arial" w:cs="Arial"/>
                <w:color w:val="000000"/>
              </w:rPr>
              <w:t xml:space="preserve">high price items for fixed time and </w:t>
            </w:r>
            <w:r>
              <w:rPr>
                <w:rFonts w:ascii="Arial" w:hAnsi="Arial" w:cs="Arial"/>
                <w:color w:val="000000"/>
              </w:rPr>
              <w:t xml:space="preserve">terms. 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t>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hree parties: the seller, the buyer (lessee) and the financier (lessor)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A9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Cars, Photocopiers, Modems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287887E4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7E34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AED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Limited Usage Rights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6C1E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Licensing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827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Movie distribution, patents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E9AD8E3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F0F3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59D0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Loss Leader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81F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Subsidized/loss making core product to stimulate sales of more profitable offerings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AEE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Kindle / iTunes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5C15C868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4C91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10D3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Low Cost Leader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205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Bury cost-cutting methods within the business model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0C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Ryanair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0C5F2F6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2961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41C8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Marketplace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83CD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Enabling Buyers &amp; Sellers for transaction fees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29C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Stock Exchange, Amazon, Upwork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B9F91FD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8808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6B61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Micro-transactions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453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Transactions involving a very small sums of money and usually taking place online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858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App Store, In-game purchases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39D23D2" w14:textId="77777777" w:rsidTr="00AA65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4E82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A28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Multi-Level Marketing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CB9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Sales force is compensated for sales they generate, but also for the sales of the other salespeople that they recruit known as the participant's "down-line".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42A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Herbalife, Amway, Mary K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D4450B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625DE5C7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E684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0469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Negative Operating Cycle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(Pay after you collect)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FB4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Don’t pay for your inventory or materials until after you’ve sold the final product associated with them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391" w14:textId="77777777" w:rsidR="00B33833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Dell</w:t>
            </w:r>
            <w:r>
              <w:rPr>
                <w:rFonts w:ascii="Arial" w:hAnsi="Arial" w:cs="Arial"/>
                <w:color w:val="000000"/>
              </w:rPr>
              <w:t xml:space="preserve"> Computer.</w:t>
            </w:r>
            <w:r w:rsidRPr="00D4450B">
              <w:rPr>
                <w:rFonts w:ascii="Arial" w:hAnsi="Arial" w:cs="Arial"/>
                <w:color w:val="000000"/>
              </w:rPr>
              <w:t xml:space="preserve"> </w:t>
            </w:r>
          </w:p>
          <w:p w14:paraId="73175D2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Galleries.</w:t>
            </w:r>
          </w:p>
        </w:tc>
      </w:tr>
      <w:tr w:rsidR="00B33833" w:rsidRPr="00C33FA6" w14:paraId="32D2BB89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51C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09A4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One Time Access Fee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A39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Initiation fees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5E2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Disney, Country Club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14444A9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478B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8FE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Party Planning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6EE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Hosting 'social events' at which products will be offered for sale. (Type of direct selling)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C28D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Tupperware Parties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1F9B78E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CC08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1111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Pay per Play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A1EE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Event specific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F6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Ticket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0CA553DA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8F77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89A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Pay to Use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485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Rental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3EA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Hotel/ Car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59E9EE64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9B40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C3E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PAYG (Pay-As-You-Go”)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9D6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Consumption driven – Metered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725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Taxi, professional services, Electricity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6D070C56" w14:textId="77777777" w:rsidTr="00AA65A2">
        <w:trPr>
          <w:trHeight w:val="4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4A4A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028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Per Transaction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C27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Sold by the unit – COGS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5B5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Cup of coffee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4450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33833" w:rsidRPr="00C33FA6" w14:paraId="5FCED311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3E3F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CC3C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Platform-As-A-Service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C90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Enabling customers to develop, run and manage their business applications without the complexity of building and maintaining their own infrastructure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EF78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Amazon Web Services, Salesforce.com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691C1D87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126A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AD1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Pre-pay for discount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812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 $1,000 credit for $750 in cash now.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B4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Seasonal Voucher promotions to help tide over a slow season.  Restaurants at the holidays. Farm share stores. </w:t>
            </w:r>
          </w:p>
        </w:tc>
      </w:tr>
      <w:tr w:rsidR="00B33833" w:rsidRPr="00C33FA6" w14:paraId="3C96FBC0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C2F8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98C2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Private Label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1D46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Enable customers to rebrand completely and provide customer branded support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D54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Supermarket white label, Hosting services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800A848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C620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723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Recurring Revenue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7ECA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Predictable revenue streams that can be expected to continue in the future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D5A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Cable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2189AB0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925E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138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Reverse Auction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647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Sellers bid each other down to a price that buyers will accept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AA3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Task-Rabbit, Open IPO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029DF7A4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1213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4F53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Sponsorship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F6B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Few Payers, many users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F8D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Conferences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6D75837" w14:textId="77777777" w:rsidTr="00AA65A2">
        <w:trPr>
          <w:trHeight w:val="4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0B46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34D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Standardization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776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Offer very limited choices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FDA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Minute Clinic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33E6BC9B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1570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5343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Standards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08A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Platforms that are open to the development of complementary services while preserving the proprietary advantage to ensure lock-in.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9C8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IOS vs. Android vs RIM, CDMA vs. GSM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5C439B5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</w:p>
        </w:tc>
      </w:tr>
      <w:tr w:rsidR="00B33833" w:rsidRPr="00C33FA6" w14:paraId="7826173A" w14:textId="77777777" w:rsidTr="00AA65A2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56B5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33C6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Streaming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A7E" w14:textId="77777777" w:rsidR="00B33833" w:rsidRPr="00D4450B" w:rsidRDefault="00B33833" w:rsidP="00AA65A2">
            <w:pPr>
              <w:rPr>
                <w:rFonts w:ascii="Arial" w:hAnsi="Arial" w:cs="Arial"/>
              </w:rPr>
            </w:pPr>
            <w:r w:rsidRPr="00D4450B">
              <w:rPr>
                <w:rFonts w:ascii="Arial" w:hAnsi="Arial" w:cs="Arial"/>
              </w:rPr>
              <w:t>Content streaming services to monetize the entertainment experience.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52CC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</w:rPr>
              <w:t>Netflix and Spotify</w:t>
            </w:r>
            <w:r>
              <w:rPr>
                <w:rFonts w:ascii="Arial" w:hAnsi="Arial" w:cs="Arial"/>
              </w:rPr>
              <w:t>.</w:t>
            </w:r>
          </w:p>
        </w:tc>
      </w:tr>
      <w:tr w:rsidR="00B33833" w:rsidRPr="00C33FA6" w14:paraId="36DB10D1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08F7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D4DB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Subscription - by Term Contract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A954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Contract driven access– focus is on renewal rates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D833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Magazines, memberships, cell phone contracts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9E55401" w14:textId="77777777" w:rsidTr="00AA65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F82C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6615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Subscription - to consume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1302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Pay regularly for regular access, until a customer tells it to stop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3CB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Barrons.com.  NYT.com  NewYorker.com. FT.com. or Blue Apron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428C23EE" w14:textId="77777777" w:rsidTr="00AA65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6E07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B6D8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 xml:space="preserve">Sunk Cost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4E1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Requires the initial purchase of a high-cost proprietary platform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B49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Gaming platforms, Bloomberg Terminals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1079632C" w14:textId="77777777" w:rsidTr="00AA65A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2CD7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039C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To-Go Consumption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206F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Prepare and package product for consumption elsewhere.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14FA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Packaging and/or delivery, boxed meals, drinks and accessories</w:t>
            </w:r>
          </w:p>
        </w:tc>
      </w:tr>
      <w:tr w:rsidR="00B33833" w:rsidRPr="00C33FA6" w14:paraId="0F1BA1D3" w14:textId="77777777" w:rsidTr="00AA65A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4E7D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5C8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To-Stay Consumption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3CF9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Prepare and serve for on-site consumption. 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006A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</w:p>
        </w:tc>
      </w:tr>
      <w:tr w:rsidR="00B33833" w:rsidRPr="00C33FA6" w14:paraId="3875EA43" w14:textId="77777777" w:rsidTr="00AA65A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E1C9" w14:textId="77777777" w:rsidR="00B33833" w:rsidRPr="00D4450B" w:rsidRDefault="00B33833" w:rsidP="00AA6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B675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To-Relocate Consumption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990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Full production unit can relocate to site of consumption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1E3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 Vans, Food Trucks, Juice Carts, Tent Catering, mobile libraries, mobile clinics, Mobile pet grooming.</w:t>
            </w:r>
          </w:p>
        </w:tc>
      </w:tr>
      <w:tr w:rsidR="00B33833" w:rsidRPr="00C33FA6" w14:paraId="19563E7E" w14:textId="77777777" w:rsidTr="00AA65A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DA0B" w14:textId="77777777" w:rsidR="00B33833" w:rsidRDefault="00B33833" w:rsidP="00AA65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9955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Value Add Conversion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3AB3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 "Buy by the ton, sell by the oz"</w:t>
            </w:r>
          </w:p>
          <w:p w14:paraId="2CECE9A7" w14:textId="77777777" w:rsidR="00B33833" w:rsidRPr="00D4450B" w:rsidRDefault="00B33833" w:rsidP="00AA65A2">
            <w:pPr>
              <w:rPr>
                <w:rFonts w:ascii="Arial" w:hAnsi="Arial" w:cs="Arial"/>
              </w:rPr>
            </w:pPr>
            <w:r w:rsidRPr="00D4450B">
              <w:rPr>
                <w:rFonts w:ascii="Arial" w:hAnsi="Arial" w:cs="Arial"/>
                <w:color w:val="000000"/>
              </w:rPr>
              <w:t>Apply a manufacturing process to refine bulk material.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72A1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Paper Mills / coffee beans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833" w:rsidRPr="00C33FA6" w14:paraId="77656AF6" w14:textId="77777777" w:rsidTr="00AA65A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1D80" w14:textId="77777777" w:rsidR="00B33833" w:rsidRDefault="00B33833" w:rsidP="00AA65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740A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Web Sales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9AD7" w14:textId="77777777" w:rsidR="00B33833" w:rsidRPr="00D4450B" w:rsidRDefault="00B33833" w:rsidP="00AA65A2">
            <w:pPr>
              <w:rPr>
                <w:rFonts w:ascii="Arial" w:hAnsi="Arial" w:cs="Arial"/>
              </w:rPr>
            </w:pPr>
            <w:r w:rsidRPr="00D4450B">
              <w:rPr>
                <w:rFonts w:ascii="Arial" w:hAnsi="Arial" w:cs="Arial"/>
                <w:color w:val="000000"/>
              </w:rPr>
              <w:t>Customers complete transactions over the internet. Site is found via web search or outbound marketing.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2A03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>Amazon.com</w:t>
            </w:r>
          </w:p>
        </w:tc>
      </w:tr>
      <w:tr w:rsidR="00B33833" w:rsidRPr="00C33FA6" w14:paraId="08DEC217" w14:textId="77777777" w:rsidTr="00AA65A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5037" w14:textId="77777777" w:rsidR="00B33833" w:rsidRDefault="00B33833" w:rsidP="00AA65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F060" w14:textId="77777777" w:rsidR="00B33833" w:rsidRPr="00D4450B" w:rsidRDefault="00B33833" w:rsidP="00AA6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450B">
              <w:rPr>
                <w:rFonts w:ascii="Arial" w:hAnsi="Arial" w:cs="Arial"/>
                <w:b/>
                <w:bCs/>
                <w:color w:val="000000"/>
              </w:rPr>
              <w:t>X-as-service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54A9" w14:textId="77777777" w:rsidR="00B33833" w:rsidRPr="00D4450B" w:rsidRDefault="00B33833" w:rsidP="00AA65A2">
            <w:pPr>
              <w:rPr>
                <w:rFonts w:ascii="Arial" w:hAnsi="Arial" w:cs="Arial"/>
              </w:rPr>
            </w:pPr>
            <w:r w:rsidRPr="00D4450B">
              <w:rPr>
                <w:rFonts w:ascii="Arial" w:hAnsi="Arial" w:cs="Arial"/>
              </w:rPr>
              <w:t xml:space="preserve">Install </w:t>
            </w:r>
            <w:r>
              <w:rPr>
                <w:rFonts w:ascii="Arial" w:hAnsi="Arial" w:cs="Arial"/>
              </w:rPr>
              <w:t xml:space="preserve">and/or </w:t>
            </w:r>
            <w:r w:rsidRPr="00D4450B">
              <w:rPr>
                <w:rFonts w:ascii="Arial" w:hAnsi="Arial" w:cs="Arial"/>
              </w:rPr>
              <w:t xml:space="preserve">maintain </w:t>
            </w:r>
            <w:r>
              <w:rPr>
                <w:rFonts w:ascii="Arial" w:hAnsi="Arial" w:cs="Arial"/>
              </w:rPr>
              <w:t>a device. C</w:t>
            </w:r>
            <w:r w:rsidRPr="00D4450B">
              <w:rPr>
                <w:rFonts w:ascii="Arial" w:hAnsi="Arial" w:cs="Arial"/>
              </w:rPr>
              <w:t>harge the customer by uptime</w:t>
            </w:r>
            <w:r>
              <w:rPr>
                <w:rFonts w:ascii="Arial" w:hAnsi="Arial" w:cs="Arial"/>
              </w:rPr>
              <w:t xml:space="preserve">, </w:t>
            </w:r>
            <w:r w:rsidRPr="00D4450B">
              <w:rPr>
                <w:rFonts w:ascii="Arial" w:hAnsi="Arial" w:cs="Arial"/>
              </w:rPr>
              <w:t xml:space="preserve"> the volume of throughput</w:t>
            </w:r>
            <w:r>
              <w:rPr>
                <w:rFonts w:ascii="Arial" w:hAnsi="Arial" w:cs="Arial"/>
              </w:rPr>
              <w:t xml:space="preserve"> or data storage plans.  L</w:t>
            </w:r>
            <w:r w:rsidRPr="00D4450B">
              <w:rPr>
                <w:rFonts w:ascii="Arial" w:hAnsi="Arial" w:cs="Arial"/>
              </w:rPr>
              <w:t>everage embedded IoT sensors to track 24×7 operational and pricing data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C3AB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Ring video doorbell services. </w:t>
            </w:r>
          </w:p>
          <w:p w14:paraId="55F73CA7" w14:textId="77777777" w:rsidR="00B33833" w:rsidRPr="00D4450B" w:rsidRDefault="00B33833" w:rsidP="00AA65A2">
            <w:pPr>
              <w:rPr>
                <w:rFonts w:ascii="Arial" w:hAnsi="Arial" w:cs="Arial"/>
                <w:color w:val="000000"/>
              </w:rPr>
            </w:pPr>
            <w:r w:rsidRPr="00D4450B">
              <w:rPr>
                <w:rFonts w:ascii="Arial" w:hAnsi="Arial" w:cs="Arial"/>
                <w:color w:val="000000"/>
              </w:rPr>
              <w:t xml:space="preserve">Home temperature, moisture sensor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D4450B">
              <w:rPr>
                <w:rFonts w:ascii="Arial" w:hAnsi="Arial" w:cs="Arial"/>
                <w:color w:val="000000"/>
              </w:rPr>
              <w:t>ervices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4C8A3A7" w14:textId="77777777" w:rsidR="00B33833" w:rsidRDefault="00B33833" w:rsidP="00B33833">
      <w:pPr>
        <w:jc w:val="both"/>
      </w:pPr>
    </w:p>
    <w:p w14:paraId="003B1976" w14:textId="486FDFA9" w:rsidR="00B33833" w:rsidRPr="00B33833" w:rsidRDefault="00B33833" w:rsidP="00B33833">
      <w:pPr>
        <w:jc w:val="both"/>
        <w:rPr>
          <w:rFonts w:ascii="Arial" w:hAnsi="Arial" w:cs="Arial"/>
        </w:rPr>
      </w:pPr>
      <w:r w:rsidRPr="00B33833">
        <w:rPr>
          <w:rFonts w:ascii="Arial" w:hAnsi="Arial" w:cs="Arial"/>
        </w:rPr>
        <w:t>Be creative in recognizing and continuously experimenting with different possibilities for creating, delivering and capturing value</w:t>
      </w:r>
      <w:r w:rsidR="00FD6F3B">
        <w:rPr>
          <w:rFonts w:ascii="Arial" w:hAnsi="Arial" w:cs="Arial"/>
        </w:rPr>
        <w:t>!</w:t>
      </w:r>
      <w:r w:rsidRPr="00B33833">
        <w:rPr>
          <w:rFonts w:ascii="Arial" w:hAnsi="Arial" w:cs="Arial"/>
        </w:rPr>
        <w:t xml:space="preserve">   Often, the most sustainable and innovative revenue models for </w:t>
      </w:r>
      <w:r w:rsidR="00FD6F3B">
        <w:rPr>
          <w:rFonts w:ascii="Arial" w:hAnsi="Arial" w:cs="Arial"/>
        </w:rPr>
        <w:t>any</w:t>
      </w:r>
      <w:r w:rsidRPr="00B33833">
        <w:rPr>
          <w:rFonts w:ascii="Arial" w:hAnsi="Arial" w:cs="Arial"/>
        </w:rPr>
        <w:t xml:space="preserve"> business come from combining more than one model. </w:t>
      </w:r>
    </w:p>
    <w:p w14:paraId="6520B112" w14:textId="77777777" w:rsidR="00B33833" w:rsidRDefault="00B33833"/>
    <w:sectPr w:rsidR="00B33833" w:rsidSect="002073C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EA27" w14:textId="77777777" w:rsidR="000520C6" w:rsidRDefault="000520C6" w:rsidP="00F94AAD">
      <w:r>
        <w:separator/>
      </w:r>
    </w:p>
  </w:endnote>
  <w:endnote w:type="continuationSeparator" w:id="0">
    <w:p w14:paraId="1C90FCE6" w14:textId="77777777" w:rsidR="000520C6" w:rsidRDefault="000520C6" w:rsidP="00F9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5493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F748D3" w14:textId="361ECB2B" w:rsidR="00F94AAD" w:rsidRDefault="00F94AAD" w:rsidP="003C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FF94AB" w14:textId="77777777" w:rsidR="00F94AAD" w:rsidRDefault="00F94AAD" w:rsidP="00F94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3999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7A30D" w14:textId="121B6D44" w:rsidR="00F94AAD" w:rsidRDefault="00F94AAD" w:rsidP="003C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CA736" w14:textId="2153F0EE" w:rsidR="00F94AAD" w:rsidRDefault="00821966" w:rsidP="00821966">
    <w:pPr>
      <w:pStyle w:val="Footer"/>
    </w:pPr>
    <w:r w:rsidRPr="0061789F">
      <w:rPr>
        <w:rFonts w:asciiTheme="majorBidi" w:hAnsiTheme="majorBidi" w:cstheme="majorBidi"/>
        <w:sz w:val="18"/>
        <w:szCs w:val="18"/>
      </w:rPr>
      <w:t>Copyright ©</w:t>
    </w:r>
    <w:r>
      <w:rPr>
        <w:rFonts w:asciiTheme="majorBidi" w:hAnsiTheme="majorBidi" w:cstheme="majorBidi"/>
        <w:sz w:val="18"/>
        <w:szCs w:val="18"/>
      </w:rPr>
      <w:t xml:space="preserve"> 2020</w:t>
    </w:r>
    <w:r w:rsidRPr="0061789F">
      <w:rPr>
        <w:rFonts w:asciiTheme="majorBidi" w:hAnsiTheme="majorBidi" w:cstheme="majorBidi"/>
        <w:sz w:val="18"/>
        <w:szCs w:val="18"/>
      </w:rPr>
      <w:t xml:space="preserve"> Daniel Isenberg</w:t>
    </w:r>
    <w:r>
      <w:rPr>
        <w:rFonts w:asciiTheme="majorBidi" w:hAnsiTheme="majorBidi" w:cstheme="majorBidi"/>
        <w:sz w:val="18"/>
        <w:szCs w:val="18"/>
      </w:rPr>
      <w:t xml:space="preserve"> and Kevin Mulcahy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31C2" w14:textId="77777777" w:rsidR="000520C6" w:rsidRDefault="000520C6" w:rsidP="00F94AAD">
      <w:r>
        <w:separator/>
      </w:r>
    </w:p>
  </w:footnote>
  <w:footnote w:type="continuationSeparator" w:id="0">
    <w:p w14:paraId="56BEEE2A" w14:textId="77777777" w:rsidR="000520C6" w:rsidRDefault="000520C6" w:rsidP="00F9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1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351F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5D5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444E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4831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8D2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690E1C"/>
    <w:multiLevelType w:val="hybridMultilevel"/>
    <w:tmpl w:val="EDC8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F46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8010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566DF4"/>
    <w:multiLevelType w:val="hybridMultilevel"/>
    <w:tmpl w:val="B6E6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052F"/>
    <w:multiLevelType w:val="hybridMultilevel"/>
    <w:tmpl w:val="351C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53AE"/>
    <w:multiLevelType w:val="hybridMultilevel"/>
    <w:tmpl w:val="FEF22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D42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063B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07738C"/>
    <w:multiLevelType w:val="hybridMultilevel"/>
    <w:tmpl w:val="22BA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C7"/>
    <w:rsid w:val="00031AFA"/>
    <w:rsid w:val="000520C6"/>
    <w:rsid w:val="00071066"/>
    <w:rsid w:val="000D3800"/>
    <w:rsid w:val="000F6814"/>
    <w:rsid w:val="001836AC"/>
    <w:rsid w:val="001A76E2"/>
    <w:rsid w:val="002073CD"/>
    <w:rsid w:val="002B20E9"/>
    <w:rsid w:val="002B3ECE"/>
    <w:rsid w:val="003161BD"/>
    <w:rsid w:val="003C0E37"/>
    <w:rsid w:val="003D7BB6"/>
    <w:rsid w:val="003E61B9"/>
    <w:rsid w:val="00417101"/>
    <w:rsid w:val="00481F9B"/>
    <w:rsid w:val="004D54C7"/>
    <w:rsid w:val="005625A8"/>
    <w:rsid w:val="00621D56"/>
    <w:rsid w:val="006C5449"/>
    <w:rsid w:val="006D552F"/>
    <w:rsid w:val="007648B4"/>
    <w:rsid w:val="007B6511"/>
    <w:rsid w:val="00821966"/>
    <w:rsid w:val="00821D4A"/>
    <w:rsid w:val="008456F2"/>
    <w:rsid w:val="00857B3E"/>
    <w:rsid w:val="008B2A9B"/>
    <w:rsid w:val="00974BA2"/>
    <w:rsid w:val="00981638"/>
    <w:rsid w:val="009D5EFB"/>
    <w:rsid w:val="009E1747"/>
    <w:rsid w:val="009E4DCB"/>
    <w:rsid w:val="00A53899"/>
    <w:rsid w:val="00A73B1B"/>
    <w:rsid w:val="00AA0340"/>
    <w:rsid w:val="00AF50E5"/>
    <w:rsid w:val="00AF74EA"/>
    <w:rsid w:val="00B11F54"/>
    <w:rsid w:val="00B33833"/>
    <w:rsid w:val="00B92EC5"/>
    <w:rsid w:val="00BB4516"/>
    <w:rsid w:val="00BF0734"/>
    <w:rsid w:val="00C2396D"/>
    <w:rsid w:val="00C96673"/>
    <w:rsid w:val="00CB48C3"/>
    <w:rsid w:val="00CD3422"/>
    <w:rsid w:val="00D11D34"/>
    <w:rsid w:val="00D32098"/>
    <w:rsid w:val="00D5195F"/>
    <w:rsid w:val="00D61413"/>
    <w:rsid w:val="00DC6650"/>
    <w:rsid w:val="00DF3721"/>
    <w:rsid w:val="00E25303"/>
    <w:rsid w:val="00E532FA"/>
    <w:rsid w:val="00E5763F"/>
    <w:rsid w:val="00F209F9"/>
    <w:rsid w:val="00F2392C"/>
    <w:rsid w:val="00F2671C"/>
    <w:rsid w:val="00F94AAD"/>
    <w:rsid w:val="00FA23D7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4A235"/>
  <w15:chartTrackingRefBased/>
  <w15:docId w15:val="{C007FCBB-FC17-0B45-9FB3-28C939E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6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AAD"/>
  </w:style>
  <w:style w:type="character" w:styleId="PageNumber">
    <w:name w:val="page number"/>
    <w:basedOn w:val="DefaultParagraphFont"/>
    <w:uiPriority w:val="99"/>
    <w:semiHidden/>
    <w:unhideWhenUsed/>
    <w:rsid w:val="00F94AAD"/>
  </w:style>
  <w:style w:type="paragraph" w:styleId="Title">
    <w:name w:val="Title"/>
    <w:basedOn w:val="Normal"/>
    <w:link w:val="TitleChar"/>
    <w:qFormat/>
    <w:rsid w:val="00CD3422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D3422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5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B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3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Mulcahy</dc:creator>
  <cp:keywords/>
  <dc:description/>
  <cp:lastModifiedBy>Kevin Mulcahy</cp:lastModifiedBy>
  <cp:revision>13</cp:revision>
  <dcterms:created xsi:type="dcterms:W3CDTF">2020-05-11T17:17:00Z</dcterms:created>
  <dcterms:modified xsi:type="dcterms:W3CDTF">2020-05-13T16:07:00Z</dcterms:modified>
</cp:coreProperties>
</file>